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7B28F" w14:textId="74436966" w:rsidR="00213CCC" w:rsidRDefault="00213CCC" w:rsidP="00213CCC">
      <w:proofErr w:type="spellStart"/>
      <w:r>
        <w:t>BeSt</w:t>
      </w:r>
      <w:proofErr w:type="spellEnd"/>
      <w:r>
        <w:t>-SH hat Betriebe mit detaillierten Stromzählern ausgestattet und wertet diese Daten zusammen mit Betriebsdaten aus, um Rückschlüsse und Vorausblicke zu liefern.</w:t>
      </w:r>
    </w:p>
    <w:p w14:paraId="48C730A9" w14:textId="77777777" w:rsidR="00D501D8" w:rsidRDefault="00213CCC" w:rsidP="00213CCC">
      <w:r>
        <w:t>Vorbereitung:</w:t>
      </w:r>
    </w:p>
    <w:p w14:paraId="065BDE0E" w14:textId="11626CBC" w:rsidR="00213CCC" w:rsidRDefault="00213CCC" w:rsidP="00213CCC">
      <w:r>
        <w:t xml:space="preserve">Vorab: </w:t>
      </w:r>
      <w:r w:rsidR="00D501D8">
        <w:t>D</w:t>
      </w:r>
      <w:r>
        <w:t xml:space="preserve">ie Installation von </w:t>
      </w:r>
      <w:r w:rsidR="00D501D8">
        <w:t>elektrischen</w:t>
      </w:r>
      <w:r>
        <w:t xml:space="preserve"> Geräten ist dem Fachmann zu überlassen</w:t>
      </w:r>
      <w:r w:rsidR="00012B42">
        <w:t>.</w:t>
      </w:r>
      <w:r>
        <w:t xml:space="preserve"> Neben der logostischen Planung, wann und wie lange, welche Stromkreise abgeschaltet werden, ist der unsachgemäße Einbau und Betrieb mit Risiken behaftet. Läuft das System einmal, können bequem online die Daten abgerufen und analysiert werden.</w:t>
      </w:r>
      <w:r w:rsidR="00012B42">
        <w:t xml:space="preserve"> Interessierte Betriebe wenden sich bitte an eine</w:t>
      </w:r>
      <w:r w:rsidR="00D501D8">
        <w:t>n qualifizierten</w:t>
      </w:r>
      <w:r w:rsidR="00012B42">
        <w:t xml:space="preserve"> Elektriker oder Dienstleister, welche auch die Auswertesoftware häufig mit anbieten.</w:t>
      </w:r>
    </w:p>
    <w:p w14:paraId="0DFFF054" w14:textId="77777777" w:rsidR="00D501D8" w:rsidRDefault="00D501D8" w:rsidP="00213CCC">
      <w:r>
        <w:t>Durchführung:</w:t>
      </w:r>
    </w:p>
    <w:p w14:paraId="0D626275" w14:textId="6340AE43" w:rsidR="00213CCC" w:rsidRDefault="00213CCC" w:rsidP="00213CCC">
      <w:proofErr w:type="gramStart"/>
      <w:r>
        <w:t>Nach einer Status</w:t>
      </w:r>
      <w:proofErr w:type="gramEnd"/>
      <w:r>
        <w:t xml:space="preserve"> quo Aufnahme des IST Zustandes, welche Verbraucher, an welchen Stromkreisen, wie angeschlossen sind, wurden je Schaltschrank ein Grundgerät und je nach Anzahl der Unterstromkreise Stromsensoren installiert. Während das Grundgerät exakt die Wirkleistung der gemeinsamen Zuleitung durch phasengenaue Messung von Strom und Spannung bestimmt, messen die Stromsensoren nur den Stromfluss der einzelnen Stromkreise und können über einen festen Phasenwinkel zur Wirkleistungsberechnung verwendet werden. Es wurde ein Messintervall von einer Minute gewählt</w:t>
      </w:r>
      <w:r w:rsidR="00E059CA">
        <w:t>.</w:t>
      </w:r>
      <w:r>
        <w:t xml:space="preserve"> </w:t>
      </w:r>
      <w:r w:rsidR="00E059CA">
        <w:t>W</w:t>
      </w:r>
      <w:r>
        <w:t xml:space="preserve">ahlweise </w:t>
      </w:r>
      <w:r w:rsidR="00E059CA">
        <w:t>sind auch</w:t>
      </w:r>
      <w:r>
        <w:t xml:space="preserve"> 15 Minuten </w:t>
      </w:r>
      <w:r w:rsidR="00E059CA">
        <w:t>möglich</w:t>
      </w:r>
      <w:r>
        <w:t>.</w:t>
      </w:r>
    </w:p>
    <w:p w14:paraId="1267CBCB" w14:textId="03D1E3AA" w:rsidR="00213CCC" w:rsidRDefault="00213CCC" w:rsidP="00213CCC">
      <w:r>
        <w:t xml:space="preserve">Die automatische Übermittlung der Daten erfolgt über ein </w:t>
      </w:r>
      <w:proofErr w:type="gramStart"/>
      <w:r>
        <w:t>LAN Netzwerk</w:t>
      </w:r>
      <w:proofErr w:type="gramEnd"/>
      <w:r>
        <w:t>, welches verschiedene Schnittstellen wie</w:t>
      </w:r>
      <w:r w:rsidR="00EC7F3E">
        <w:t xml:space="preserve"> MQTT, Modbus TCP, ftp </w:t>
      </w:r>
      <w:proofErr w:type="spellStart"/>
      <w:r w:rsidR="00EC7F3E">
        <w:t>upload</w:t>
      </w:r>
      <w:proofErr w:type="spellEnd"/>
      <w:r w:rsidR="00EC7F3E">
        <w:t xml:space="preserve"> oder mail Client</w:t>
      </w:r>
      <w:r w:rsidR="0038611A">
        <w:t xml:space="preserve"> </w:t>
      </w:r>
      <w:r>
        <w:t xml:space="preserve">unterstützt; im </w:t>
      </w:r>
      <w:proofErr w:type="spellStart"/>
      <w:r>
        <w:t>BeSt</w:t>
      </w:r>
      <w:proofErr w:type="spellEnd"/>
      <w:r>
        <w:t xml:space="preserve">-SH Fall wurde </w:t>
      </w:r>
      <w:r w:rsidR="00EC7F3E">
        <w:t xml:space="preserve">der </w:t>
      </w:r>
      <w:r>
        <w:t>email Versand gewählt.</w:t>
      </w:r>
    </w:p>
    <w:p w14:paraId="3301E172" w14:textId="77777777" w:rsidR="00213CCC" w:rsidRDefault="00213CCC" w:rsidP="00213CCC">
      <w:r>
        <w:t xml:space="preserve">Die Datenauswertung erfolgte in diesem Fall mit selbst erstellten Routinen in </w:t>
      </w:r>
      <w:proofErr w:type="spellStart"/>
      <w:r>
        <w:t>MatLab</w:t>
      </w:r>
      <w:proofErr w:type="spellEnd"/>
      <w:r>
        <w:t>. Es kann aber auch Excel oder andere Tools zur Darstellung und Analyse der ASCII Daten verwendet werden.</w:t>
      </w:r>
    </w:p>
    <w:p w14:paraId="48071360" w14:textId="4781D89F" w:rsidR="00BD08C2" w:rsidRDefault="00EE542A" w:rsidP="00D64028">
      <w:r>
        <w:t xml:space="preserve">Siehe auch </w:t>
      </w:r>
      <w:hyperlink r:id="rId4" w:history="1">
        <w:r w:rsidR="00E059CA" w:rsidRPr="00931F4C">
          <w:rPr>
            <w:rStyle w:val="Hyperlink"/>
          </w:rPr>
          <w:t>https://farmwiki.de/Glossar/E/Energieerfassung</w:t>
        </w:r>
      </w:hyperlink>
      <w:r w:rsidR="00E059CA">
        <w:t xml:space="preserve"> mit Bildern einer Beispielinstallation</w:t>
      </w:r>
    </w:p>
    <w:p w14:paraId="70762D13" w14:textId="20FC22B6" w:rsidR="00BD08C2" w:rsidRDefault="00BD08C2" w:rsidP="00D64028">
      <w:r>
        <w:t>Beispiele:</w:t>
      </w:r>
    </w:p>
    <w:p w14:paraId="03CC6BCC" w14:textId="03EF8B44" w:rsidR="00BD08C2" w:rsidRDefault="007E32E4" w:rsidP="00D64028">
      <w:r>
        <w:t xml:space="preserve">Im </w:t>
      </w:r>
      <w:r w:rsidR="00EE542A">
        <w:t>Folgenden</w:t>
      </w:r>
      <w:r>
        <w:t xml:space="preserve"> werden einige Beispiele beschrieben, wie sie im Projektverlauf bei den Versuchsbetrieben auftauchten.</w:t>
      </w:r>
    </w:p>
    <w:p w14:paraId="76F2105A" w14:textId="7DC01D23" w:rsidR="007E32E4" w:rsidRDefault="007E32E4" w:rsidP="00D64028">
      <w:r>
        <w:t>In einem Milchviehbetrieb wurde als einer der Hauptverbraucher die Milchkühlung identifiziert</w:t>
      </w:r>
      <w:r w:rsidR="00EE542A">
        <w:t>.</w:t>
      </w:r>
      <w:r>
        <w:t xml:space="preserve"> Um hier Energie einzusparen</w:t>
      </w:r>
      <w:r w:rsidR="0066406A">
        <w:t>,</w:t>
      </w:r>
      <w:r>
        <w:t xml:space="preserve"> wurde im Dezember 2021 ein Vorkühler installiert. Dieser reduzierte den Energieverbrauch der Milchkühlung von </w:t>
      </w:r>
      <w:r w:rsidR="006F1437">
        <w:t>täglich 200 kWh auf 130 kWh</w:t>
      </w:r>
      <w:r w:rsidR="00EE542A">
        <w:t>, also</w:t>
      </w:r>
      <w:r w:rsidR="006F1437">
        <w:t xml:space="preserve"> </w:t>
      </w:r>
      <w:r w:rsidR="00AD076E">
        <w:t xml:space="preserve">35 % Reduktion, </w:t>
      </w:r>
      <w:r w:rsidR="006F1437">
        <w:t>Bild 1</w:t>
      </w:r>
      <w:r w:rsidR="00AD076E">
        <w:t>. Dort erkennt man aber auch den jahreszeitlich bedingten Rückgang vom August zum Dezember und die Schwankungen von Tag zu Tag, so dass die Aussage - 35 % Reduktion - unsicher erscheint.</w:t>
      </w:r>
    </w:p>
    <w:p w14:paraId="145016DF" w14:textId="634EAD12" w:rsidR="006F1437" w:rsidRDefault="00AD076E" w:rsidP="00D64028">
      <w:r>
        <w:rPr>
          <w:noProof/>
        </w:rPr>
        <w:lastRenderedPageBreak/>
        <w:drawing>
          <wp:inline distT="0" distB="0" distL="0" distR="0" wp14:anchorId="0601BC8B" wp14:editId="144C97C0">
            <wp:extent cx="5658899" cy="2563173"/>
            <wp:effectExtent l="0" t="0" r="0" b="889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4618" cy="2570293"/>
                    </a:xfrm>
                    <a:prstGeom prst="rect">
                      <a:avLst/>
                    </a:prstGeom>
                    <a:noFill/>
                  </pic:spPr>
                </pic:pic>
              </a:graphicData>
            </a:graphic>
          </wp:inline>
        </w:drawing>
      </w:r>
    </w:p>
    <w:p w14:paraId="5C52727D" w14:textId="7B10176A" w:rsidR="00CF44BA" w:rsidRDefault="00CF44BA" w:rsidP="00D64028">
      <w:pPr>
        <w:rPr>
          <w:b/>
          <w:bCs/>
        </w:rPr>
      </w:pPr>
      <w:r w:rsidRPr="00CF44BA">
        <w:rPr>
          <w:b/>
          <w:bCs/>
        </w:rPr>
        <w:t>Bild 1: Effekt des Einbaus eines Vorkühlers auf den elektrischen Verbrauch der Milchkühlung</w:t>
      </w:r>
    </w:p>
    <w:p w14:paraId="335F2788" w14:textId="77777777" w:rsidR="001F7FED" w:rsidRPr="00CF44BA" w:rsidRDefault="001F7FED" w:rsidP="00D64028">
      <w:pPr>
        <w:rPr>
          <w:b/>
          <w:bCs/>
        </w:rPr>
      </w:pPr>
    </w:p>
    <w:p w14:paraId="13EB777C" w14:textId="3AF78B78" w:rsidR="00AD076E" w:rsidRDefault="00AD076E" w:rsidP="00D64028">
      <w:r>
        <w:t xml:space="preserve">Werden die Daten in der </w:t>
      </w:r>
      <w:proofErr w:type="spellStart"/>
      <w:r>
        <w:t>Messzeit</w:t>
      </w:r>
      <w:proofErr w:type="spellEnd"/>
      <w:r>
        <w:t xml:space="preserve"> erweitert und um wichtige Produktionsdaten wie Milchleistung ergänzt, kann über ein ganzes Jahr der Energieverbrauch der Milchkühlung bezogen auf die </w:t>
      </w:r>
      <w:r w:rsidR="00EE542A">
        <w:t>gemolkene</w:t>
      </w:r>
      <w:r>
        <w:t xml:space="preserve"> Milch angeben und a</w:t>
      </w:r>
      <w:r w:rsidR="00037439">
        <w:t>nalysiert werden. Es entsteht folgender Vergleich, welcher in Bild 2 skizziert ist: In den Spätsommermonaten August bis Oktober 2021 betrug der durchschnittliche Energieverbrauch der Kühlung ohne Vorkühler 10</w:t>
      </w:r>
      <w:r w:rsidR="0066406A">
        <w:t>,</w:t>
      </w:r>
      <w:r w:rsidR="00037439">
        <w:t>7 kWh/t Milch; in denselben Monaten 2022 mit Vorkühler 7,2 kWh/t; folglich eine Einsparung um 33 %.</w:t>
      </w:r>
    </w:p>
    <w:p w14:paraId="445162A8" w14:textId="77777777" w:rsidR="001F7FED" w:rsidRDefault="001F7FED" w:rsidP="00D64028"/>
    <w:p w14:paraId="243901E7" w14:textId="7696FEFA" w:rsidR="00BD08C2" w:rsidRDefault="00BD08C2" w:rsidP="00D64028">
      <w:r>
        <w:rPr>
          <w:noProof/>
        </w:rPr>
        <w:drawing>
          <wp:inline distT="0" distB="0" distL="0" distR="0" wp14:anchorId="24971D2A" wp14:editId="17D55EAE">
            <wp:extent cx="5760720" cy="32404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5760720" cy="3240405"/>
                    </a:xfrm>
                    <a:prstGeom prst="rect">
                      <a:avLst/>
                    </a:prstGeom>
                  </pic:spPr>
                </pic:pic>
              </a:graphicData>
            </a:graphic>
          </wp:inline>
        </w:drawing>
      </w:r>
    </w:p>
    <w:p w14:paraId="0AFE24E4" w14:textId="01429C74" w:rsidR="00CF44BA" w:rsidRDefault="00CF44BA" w:rsidP="00CF44BA">
      <w:pPr>
        <w:rPr>
          <w:b/>
          <w:bCs/>
        </w:rPr>
      </w:pPr>
      <w:r w:rsidRPr="00CF44BA">
        <w:rPr>
          <w:b/>
          <w:bCs/>
        </w:rPr>
        <w:t xml:space="preserve">Bild </w:t>
      </w:r>
      <w:r>
        <w:rPr>
          <w:b/>
          <w:bCs/>
        </w:rPr>
        <w:t>2</w:t>
      </w:r>
      <w:r w:rsidRPr="00CF44BA">
        <w:rPr>
          <w:b/>
          <w:bCs/>
        </w:rPr>
        <w:t xml:space="preserve">: Effekt des Einbaus eines Vorkühlers auf </w:t>
      </w:r>
      <w:r>
        <w:rPr>
          <w:b/>
          <w:bCs/>
        </w:rPr>
        <w:t>den normierten Energiebedarf je Tonne Milch im vergleichbaren Jahreszeitraum</w:t>
      </w:r>
    </w:p>
    <w:p w14:paraId="7378C450" w14:textId="77777777" w:rsidR="001F7FED" w:rsidRPr="00CF44BA" w:rsidRDefault="001F7FED" w:rsidP="00CF44BA">
      <w:pPr>
        <w:rPr>
          <w:b/>
          <w:bCs/>
        </w:rPr>
      </w:pPr>
    </w:p>
    <w:p w14:paraId="108091B2" w14:textId="0C58108A" w:rsidR="001159A4" w:rsidRPr="00D64028" w:rsidRDefault="001159A4" w:rsidP="00D64028">
      <w:r>
        <w:t>Im Laufe der Projektlaufzeit werden weitere Beispiele folgen.</w:t>
      </w:r>
    </w:p>
    <w:sectPr w:rsidR="001159A4" w:rsidRPr="00D640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48"/>
    <w:rsid w:val="00012B42"/>
    <w:rsid w:val="00037439"/>
    <w:rsid w:val="001159A4"/>
    <w:rsid w:val="001D2304"/>
    <w:rsid w:val="001D484A"/>
    <w:rsid w:val="001F7FED"/>
    <w:rsid w:val="00213CCC"/>
    <w:rsid w:val="00265FF6"/>
    <w:rsid w:val="002D408A"/>
    <w:rsid w:val="0038611A"/>
    <w:rsid w:val="00610DBA"/>
    <w:rsid w:val="006252EA"/>
    <w:rsid w:val="0066406A"/>
    <w:rsid w:val="006D6804"/>
    <w:rsid w:val="006F1437"/>
    <w:rsid w:val="007E32E4"/>
    <w:rsid w:val="008743D0"/>
    <w:rsid w:val="008913A4"/>
    <w:rsid w:val="009873E7"/>
    <w:rsid w:val="009E1D95"/>
    <w:rsid w:val="00A55A11"/>
    <w:rsid w:val="00AD076E"/>
    <w:rsid w:val="00B24348"/>
    <w:rsid w:val="00BD08C2"/>
    <w:rsid w:val="00C75845"/>
    <w:rsid w:val="00CF44BA"/>
    <w:rsid w:val="00D501D8"/>
    <w:rsid w:val="00D64028"/>
    <w:rsid w:val="00E059CA"/>
    <w:rsid w:val="00E06BB4"/>
    <w:rsid w:val="00E72233"/>
    <w:rsid w:val="00EC7F3E"/>
    <w:rsid w:val="00EE542A"/>
    <w:rsid w:val="00EF1135"/>
    <w:rsid w:val="00FF7F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5856"/>
  <w15:chartTrackingRefBased/>
  <w15:docId w15:val="{A48CA2CC-47CF-459C-AAA1-45D24BB07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059CA"/>
    <w:rPr>
      <w:color w:val="0563C1" w:themeColor="hyperlink"/>
      <w:u w:val="single"/>
    </w:rPr>
  </w:style>
  <w:style w:type="character" w:styleId="NichtaufgelsteErwhnung">
    <w:name w:val="Unresolved Mention"/>
    <w:basedOn w:val="Absatz-Standardschriftart"/>
    <w:uiPriority w:val="99"/>
    <w:semiHidden/>
    <w:unhideWhenUsed/>
    <w:rsid w:val="00E059CA"/>
    <w:rPr>
      <w:color w:val="605E5C"/>
      <w:shd w:val="clear" w:color="auto" w:fill="E1DFDD"/>
    </w:rPr>
  </w:style>
  <w:style w:type="character" w:styleId="BesuchterLink">
    <w:name w:val="FollowedHyperlink"/>
    <w:basedOn w:val="Absatz-Standardschriftart"/>
    <w:uiPriority w:val="99"/>
    <w:semiHidden/>
    <w:unhideWhenUsed/>
    <w:rsid w:val="00E059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farmwiki.de/Glossar/E/Energieerfassung"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2809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Thiessen, Eiko</dc:creator>
  <cp:keywords/>
  <dc:description/>
  <cp:lastModifiedBy>Thiessen, Eiko</cp:lastModifiedBy>
  <cp:revision>2</cp:revision>
  <dcterms:created xsi:type="dcterms:W3CDTF">2023-12-11T10:03:00Z</dcterms:created>
  <dcterms:modified xsi:type="dcterms:W3CDTF">2023-12-11T10:03:00Z</dcterms:modified>
</cp:coreProperties>
</file>